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1" w:rsidRPr="00397BB3" w:rsidRDefault="0055068B"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877F8">
        <w:rPr>
          <w:rFonts w:eastAsia="MingLiU" w:cs="Times New Roman"/>
          <w:b/>
          <w:i/>
          <w:color w:val="7030A0"/>
          <w:kern w:val="36"/>
          <w:sz w:val="28"/>
          <w:szCs w:val="28"/>
          <w:lang w:eastAsia="ru-RU"/>
        </w:rPr>
        <w:t>11</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A81314" w:rsidRDefault="007A7857" w:rsidP="006877F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6877F8">
        <w:rPr>
          <w:rFonts w:ascii="Times New Roman" w:eastAsia="Times New Roman" w:hAnsi="Times New Roman" w:cs="Times New Roman"/>
          <w:b/>
          <w:caps/>
          <w:color w:val="000000"/>
          <w:kern w:val="36"/>
          <w:sz w:val="28"/>
          <w:szCs w:val="28"/>
          <w:lang w:eastAsia="ru-RU"/>
        </w:rPr>
        <w:t>Господдержка</w:t>
      </w:r>
      <w:r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2500FD">
      <w:pPr>
        <w:shd w:val="clear" w:color="auto" w:fill="FFFFFF"/>
        <w:spacing w:after="0" w:line="240" w:lineRule="auto"/>
        <w:jc w:val="center"/>
        <w:rPr>
          <w:rFonts w:ascii="Times New Roman" w:hAnsi="Times New Roman" w:cs="Times New Roman"/>
          <w:sz w:val="28"/>
          <w:szCs w:val="28"/>
        </w:rPr>
      </w:pPr>
    </w:p>
    <w:p w:rsidR="0066481A" w:rsidRDefault="006877F8"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Каким образом соотносится Федеральный закон                                  от 21.07.2007 № 185 – ФЗ и региональная                        программа капитального ремонта</w:t>
      </w:r>
      <w:r w:rsidR="004A67A2" w:rsidRPr="00D93AA5">
        <w:rPr>
          <w:rFonts w:ascii="Times New Roman" w:hAnsi="Times New Roman" w:cs="Times New Roman"/>
          <w:b/>
          <w:i/>
          <w:color w:val="0070C0"/>
          <w:sz w:val="32"/>
          <w:szCs w:val="32"/>
          <w:u w:val="single"/>
        </w:rPr>
        <w:t>?</w:t>
      </w:r>
    </w:p>
    <w:p w:rsidR="006877F8" w:rsidRDefault="006877F8" w:rsidP="00EC5E26">
      <w:pPr>
        <w:shd w:val="clear" w:color="auto" w:fill="FFFFFF"/>
        <w:spacing w:after="0" w:line="240" w:lineRule="auto"/>
        <w:jc w:val="center"/>
        <w:rPr>
          <w:rFonts w:ascii="Times New Roman" w:hAnsi="Times New Roman" w:cs="Times New Roman"/>
          <w:b/>
          <w:i/>
          <w:color w:val="0070C0"/>
          <w:sz w:val="32"/>
          <w:szCs w:val="32"/>
          <w:u w:val="single"/>
        </w:rPr>
      </w:pP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Федеральным законом от 28.12.2013 № 417-ФЗ внесены изменения в части системы финансирования и порядка проведения капитального ремонта общего имущества в МКД не только в Жилищный кодекс РФ, но и другие законодательные акты.</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Так, Федеральный закон от 21.07.2007 № 185-ФЗ "О Фонде содействия реформированию жилищно-коммунального хозяйства" дополнен статьей 20.1 «Особенности расходования средств Фонда, предоставленных после 1 января 2014 года на проведение капитального ремонта многоквартирных домов».</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Таким образом, процедура финансирования проведения капитального ремонта с использованием средств Фонда полностью интегрирована в систему финансирования капитального ремонта, предусмотренную положениями Жилищного кодекса РФ.</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Получателями средств Фонда, направляемых после 1 января 2014 года на проведение капитального ремонта МКД, являются субъекты Российской Федерации.</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МКД,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w:t>
      </w:r>
      <w:proofErr w:type="gramEnd"/>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lastRenderedPageBreak/>
        <w:t>Поддержка Фонда может быть оказана независимо от способа формирования фонда капитального ремонта, выбранного собственниками помещений в МКД.</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МКД,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открытый региональным</w:t>
      </w:r>
      <w:proofErr w:type="gramEnd"/>
      <w:r w:rsidRPr="00744935">
        <w:rPr>
          <w:color w:val="000000"/>
          <w:sz w:val="28"/>
          <w:szCs w:val="28"/>
        </w:rPr>
        <w:t xml:space="preserve"> оператором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877F8"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В свою очередь,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МКД,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МКД, перечисляются субъектом Российской Федерации в бюджеты указанных муниципальных образований</w:t>
      </w:r>
      <w:proofErr w:type="gramEnd"/>
      <w:r w:rsidRPr="00744935">
        <w:rPr>
          <w:color w:val="000000"/>
          <w:sz w:val="28"/>
          <w:szCs w:val="28"/>
        </w:rPr>
        <w:t>. Важно отметить, что муниципальные образования не являются конечными получателями средств Фонда, и финансовая поддержка собственников помещений в МКД в целях проведения капитального ремонта доходит непосредственно до лица, которому поручено проведение капитального ремонта (ТСЖ, ЖСК, управляющая организация, региональный оператор).</w:t>
      </w:r>
    </w:p>
    <w:p w:rsidR="00397BB3" w:rsidRPr="00744935" w:rsidRDefault="00397BB3" w:rsidP="00397BB3">
      <w:pPr>
        <w:pStyle w:val="a3"/>
        <w:shd w:val="clear" w:color="auto" w:fill="FFFFFF"/>
        <w:spacing w:before="0" w:beforeAutospacing="0" w:after="0" w:afterAutospacing="0"/>
        <w:ind w:firstLine="708"/>
        <w:jc w:val="both"/>
        <w:rPr>
          <w:color w:val="000000"/>
          <w:sz w:val="28"/>
          <w:szCs w:val="28"/>
        </w:rPr>
      </w:pPr>
    </w:p>
    <w:p w:rsidR="006877F8" w:rsidRDefault="006877F8" w:rsidP="00397BB3">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Может ли орган местного самоуправлению быть </w:t>
      </w:r>
    </w:p>
    <w:p w:rsidR="006877F8" w:rsidRDefault="006877F8" w:rsidP="006877F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получателем денежных средств, </w:t>
      </w:r>
      <w:proofErr w:type="gramStart"/>
      <w:r>
        <w:rPr>
          <w:rFonts w:ascii="Times New Roman" w:hAnsi="Times New Roman" w:cs="Times New Roman"/>
          <w:b/>
          <w:i/>
          <w:color w:val="0070C0"/>
          <w:sz w:val="32"/>
          <w:szCs w:val="32"/>
          <w:u w:val="single"/>
        </w:rPr>
        <w:t>необходимы</w:t>
      </w:r>
      <w:proofErr w:type="gramEnd"/>
      <w:r>
        <w:rPr>
          <w:rFonts w:ascii="Times New Roman" w:hAnsi="Times New Roman" w:cs="Times New Roman"/>
          <w:b/>
          <w:i/>
          <w:color w:val="0070C0"/>
          <w:sz w:val="32"/>
          <w:szCs w:val="32"/>
          <w:u w:val="single"/>
        </w:rPr>
        <w:t xml:space="preserve"> для </w:t>
      </w:r>
    </w:p>
    <w:p w:rsidR="006877F8" w:rsidRDefault="006877F8" w:rsidP="006877F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проведения капитального ремонта </w:t>
      </w:r>
      <w:proofErr w:type="gramStart"/>
      <w:r>
        <w:rPr>
          <w:rFonts w:ascii="Times New Roman" w:hAnsi="Times New Roman" w:cs="Times New Roman"/>
          <w:b/>
          <w:i/>
          <w:color w:val="0070C0"/>
          <w:sz w:val="32"/>
          <w:szCs w:val="32"/>
          <w:u w:val="single"/>
        </w:rPr>
        <w:t>многоквартирных</w:t>
      </w:r>
      <w:proofErr w:type="gramEnd"/>
      <w:r>
        <w:rPr>
          <w:rFonts w:ascii="Times New Roman" w:hAnsi="Times New Roman" w:cs="Times New Roman"/>
          <w:b/>
          <w:i/>
          <w:color w:val="0070C0"/>
          <w:sz w:val="32"/>
          <w:szCs w:val="32"/>
          <w:u w:val="single"/>
        </w:rPr>
        <w:t xml:space="preserve"> </w:t>
      </w:r>
    </w:p>
    <w:p w:rsidR="006877F8" w:rsidRDefault="006877F8" w:rsidP="00397BB3">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домов, включенных в программу капитального ремонта</w:t>
      </w:r>
      <w:r w:rsidRPr="00D93AA5">
        <w:rPr>
          <w:rFonts w:ascii="Times New Roman" w:hAnsi="Times New Roman" w:cs="Times New Roman"/>
          <w:b/>
          <w:i/>
          <w:color w:val="0070C0"/>
          <w:sz w:val="32"/>
          <w:szCs w:val="32"/>
          <w:u w:val="single"/>
        </w:rPr>
        <w:t>?</w:t>
      </w:r>
    </w:p>
    <w:p w:rsidR="00397BB3" w:rsidRPr="00397BB3" w:rsidRDefault="00397BB3" w:rsidP="00397BB3">
      <w:pPr>
        <w:shd w:val="clear" w:color="auto" w:fill="FFFFFF"/>
        <w:spacing w:after="0" w:line="240" w:lineRule="auto"/>
        <w:jc w:val="center"/>
        <w:rPr>
          <w:rFonts w:ascii="Times New Roman" w:hAnsi="Times New Roman" w:cs="Times New Roman"/>
          <w:b/>
          <w:i/>
          <w:color w:val="0070C0"/>
          <w:sz w:val="28"/>
          <w:szCs w:val="28"/>
          <w:u w:val="single"/>
        </w:rPr>
      </w:pP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Согласно пункту 3 статьи 170 ЖК РФ собственники помещений в многоквартирном доме вправе выбрать один из следующих способов формирования фонда капитального ремонта:</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Владельцем специального счета, на котором аккумулируются взносы собственников помещений в МКД на капитальный ремонт, в силу частей 2 и 3 статьи 175 ЖК РФ могут быть:</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 ТСЖ, осуществляющее управление МКД и созданное в одном многоквартирном доме или нескольких многоквартирных домах;</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lastRenderedPageBreak/>
        <w:t>- осуществляющий управление МКД жилищный кооператив;</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 управляющая организация, осуществляющая управление МКД на основании договора управления;</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 региональный оператор.</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Таким образом, законодательством не предусмотрено перечисление собственниками помещений в МКД взносов на капитальный ремонт на счет, открытый на имя органа местного самоуправления.</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Вместе с тем, в рамках Федерального закона от 21.07.2007 № 185-ФЗ предусмотрено предоставление Фондом целевых средств бюджетам субъектов Российской</w:t>
      </w:r>
      <w:r>
        <w:rPr>
          <w:rFonts w:ascii="Arial" w:hAnsi="Arial" w:cs="Arial"/>
          <w:color w:val="000000"/>
          <w:sz w:val="21"/>
          <w:szCs w:val="21"/>
        </w:rPr>
        <w:t xml:space="preserve"> </w:t>
      </w:r>
      <w:r w:rsidRPr="00744935">
        <w:rPr>
          <w:color w:val="000000"/>
          <w:sz w:val="28"/>
          <w:szCs w:val="28"/>
        </w:rPr>
        <w:t>Федерации или в установленном указанным Федеральным законом случае местным бюджетам на безвозвратной и безвозмездной основе на проведение капитального ремонта многоквартирных домов.</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МКД,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Федерального закона от 21.07.2007 № 185-ФЗ условия предоставления</w:t>
      </w:r>
      <w:proofErr w:type="gramEnd"/>
      <w:r w:rsidRPr="00744935">
        <w:rPr>
          <w:color w:val="000000"/>
          <w:sz w:val="28"/>
          <w:szCs w:val="28"/>
        </w:rPr>
        <w:t xml:space="preserve"> финансовой поддержки за счет средств Фонда (часть 4 статьи 20.1 Федерального закона от 21.07.2007 № 185-ФЗ).</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Важно отметить, что орган местного самоуправления не является конечным получателем указанных выше средств.</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 xml:space="preserve">В течение четырнадцати дней со дня получения средств бюджета субъекта Российской Федерации, полученных за счет средств Фонда, и </w:t>
      </w:r>
      <w:proofErr w:type="gramStart"/>
      <w:r w:rsidRPr="00744935">
        <w:rPr>
          <w:color w:val="000000"/>
          <w:sz w:val="28"/>
          <w:szCs w:val="28"/>
        </w:rPr>
        <w:t>средств, предусмотренных в бюджете субъекта Российской Федерации на долевое финансирование проведения капитального ремонта МКД,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МКД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w:t>
      </w:r>
      <w:proofErr w:type="gramEnd"/>
      <w:r w:rsidRPr="00744935">
        <w:rPr>
          <w:color w:val="000000"/>
          <w:sz w:val="28"/>
          <w:szCs w:val="28"/>
        </w:rPr>
        <w:t xml:space="preserve"> ремонта МКД (часть 5 статьи 20.1 Федерального закона от 21.07.2007 № 185-ФЗ).</w:t>
      </w:r>
    </w:p>
    <w:p w:rsidR="006877F8"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Перечисление указанных выше средств осуществляется на отдельные банковские счета, открытые ТСЖ, ЖСК, УО, региональным оператором (которым поручено проведение капитального ремонта в МКД) специально для этих целей, после предоставления в орган местного самоуправления документов, перечисленных в части 7 статьи 20.1 Федерального закона от 21.07.2007 № 185-ФЗ.</w:t>
      </w:r>
    </w:p>
    <w:p w:rsidR="00397BB3" w:rsidRPr="00744935" w:rsidRDefault="00397BB3" w:rsidP="00397BB3">
      <w:pPr>
        <w:pStyle w:val="a3"/>
        <w:shd w:val="clear" w:color="auto" w:fill="FFFFFF"/>
        <w:spacing w:before="0" w:beforeAutospacing="0" w:after="0" w:afterAutospacing="0"/>
        <w:ind w:firstLine="708"/>
        <w:jc w:val="both"/>
        <w:rPr>
          <w:color w:val="000000"/>
          <w:sz w:val="28"/>
          <w:szCs w:val="28"/>
        </w:rPr>
      </w:pPr>
    </w:p>
    <w:p w:rsidR="006877F8" w:rsidRDefault="006877F8" w:rsidP="00397BB3">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Предусмотрена ли законодательством государственная поддержка для проведения капитального ремонта общего имущества собственников помещений в МКД</w:t>
      </w:r>
      <w:r w:rsidRPr="00D93AA5">
        <w:rPr>
          <w:rFonts w:ascii="Times New Roman" w:hAnsi="Times New Roman" w:cs="Times New Roman"/>
          <w:b/>
          <w:i/>
          <w:color w:val="0070C0"/>
          <w:sz w:val="32"/>
          <w:szCs w:val="32"/>
          <w:u w:val="single"/>
        </w:rPr>
        <w:t>?</w:t>
      </w:r>
    </w:p>
    <w:p w:rsidR="00397BB3" w:rsidRPr="00397BB3" w:rsidRDefault="00397BB3" w:rsidP="00397BB3">
      <w:pPr>
        <w:shd w:val="clear" w:color="auto" w:fill="FFFFFF"/>
        <w:spacing w:after="0" w:line="240" w:lineRule="auto"/>
        <w:jc w:val="center"/>
        <w:rPr>
          <w:rFonts w:ascii="Times New Roman" w:hAnsi="Times New Roman" w:cs="Times New Roman"/>
          <w:b/>
          <w:i/>
          <w:color w:val="0070C0"/>
          <w:sz w:val="28"/>
          <w:szCs w:val="28"/>
          <w:u w:val="single"/>
        </w:rPr>
      </w:pP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В соответствии со статьей 191 ЖК РФ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w:t>
      </w:r>
      <w:proofErr w:type="gramEnd"/>
      <w:r w:rsidRPr="00744935">
        <w:rPr>
          <w:color w:val="000000"/>
          <w:sz w:val="28"/>
          <w:szCs w:val="28"/>
        </w:rPr>
        <w:t>,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877F8"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97BB3" w:rsidRPr="00744935" w:rsidRDefault="00397BB3" w:rsidP="00397BB3">
      <w:pPr>
        <w:pStyle w:val="a3"/>
        <w:shd w:val="clear" w:color="auto" w:fill="FFFFFF"/>
        <w:spacing w:before="0" w:beforeAutospacing="0" w:after="0" w:afterAutospacing="0"/>
        <w:ind w:firstLine="708"/>
        <w:jc w:val="both"/>
        <w:rPr>
          <w:color w:val="000000"/>
          <w:sz w:val="28"/>
          <w:szCs w:val="28"/>
        </w:rPr>
      </w:pPr>
    </w:p>
    <w:p w:rsidR="006877F8" w:rsidRDefault="00744935" w:rsidP="00397BB3">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С 01 января 2014 года применяются новые правила проведения капитального ремонта МКД, Когда планируется внесение изменений в «Методические рекомендации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185 - ФЗ</w:t>
      </w:r>
      <w:r w:rsidR="006877F8" w:rsidRPr="00D93AA5">
        <w:rPr>
          <w:rFonts w:ascii="Times New Roman" w:hAnsi="Times New Roman" w:cs="Times New Roman"/>
          <w:b/>
          <w:i/>
          <w:color w:val="0070C0"/>
          <w:sz w:val="32"/>
          <w:szCs w:val="32"/>
          <w:u w:val="single"/>
        </w:rPr>
        <w:t>?</w:t>
      </w:r>
    </w:p>
    <w:p w:rsidR="00397BB3" w:rsidRPr="00397BB3" w:rsidRDefault="00397BB3" w:rsidP="00397BB3">
      <w:pPr>
        <w:shd w:val="clear" w:color="auto" w:fill="FFFFFF"/>
        <w:spacing w:after="0" w:line="240" w:lineRule="auto"/>
        <w:jc w:val="center"/>
        <w:rPr>
          <w:rFonts w:ascii="Times New Roman" w:hAnsi="Times New Roman" w:cs="Times New Roman"/>
          <w:b/>
          <w:i/>
          <w:color w:val="0070C0"/>
          <w:sz w:val="28"/>
          <w:szCs w:val="28"/>
          <w:u w:val="single"/>
        </w:rPr>
      </w:pPr>
    </w:p>
    <w:p w:rsidR="006877F8"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Методические рекомендации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185-ФЗ «О Фонде содействия реформированию жилищно-коммунального хозяйства» не применяются при подготовке заявки на предоставление финансовой поддержки за счет средств Фонда в рамках финансирования региональных программ капитального ремонта общего имущества многоквартирных домов и краткосрочных планов их реализации».</w:t>
      </w:r>
      <w:proofErr w:type="gramEnd"/>
    </w:p>
    <w:p w:rsidR="00397BB3" w:rsidRDefault="00397BB3" w:rsidP="00397BB3">
      <w:pPr>
        <w:pStyle w:val="a3"/>
        <w:shd w:val="clear" w:color="auto" w:fill="FFFFFF"/>
        <w:spacing w:before="0" w:beforeAutospacing="0" w:after="0" w:afterAutospacing="0"/>
        <w:ind w:firstLine="708"/>
        <w:jc w:val="both"/>
        <w:rPr>
          <w:color w:val="000000"/>
          <w:sz w:val="28"/>
          <w:szCs w:val="28"/>
        </w:rPr>
      </w:pPr>
    </w:p>
    <w:p w:rsidR="00744935" w:rsidRDefault="00744935" w:rsidP="00397BB3">
      <w:pPr>
        <w:shd w:val="clear" w:color="auto" w:fill="FFFFFF"/>
        <w:spacing w:after="0" w:line="240" w:lineRule="auto"/>
        <w:jc w:val="center"/>
        <w:rPr>
          <w:rFonts w:ascii="Times New Roman" w:hAnsi="Times New Roman" w:cs="Times New Roman"/>
          <w:b/>
          <w:i/>
          <w:color w:val="0070C0"/>
          <w:sz w:val="32"/>
          <w:szCs w:val="32"/>
          <w:u w:val="single"/>
        </w:rPr>
      </w:pPr>
      <w:r w:rsidRPr="00744935">
        <w:rPr>
          <w:rFonts w:ascii="Times New Roman" w:hAnsi="Times New Roman" w:cs="Times New Roman"/>
          <w:b/>
          <w:i/>
          <w:color w:val="0070C0"/>
          <w:sz w:val="32"/>
          <w:szCs w:val="32"/>
          <w:u w:val="single"/>
        </w:rPr>
        <w:t>Кому должны быть перечислены средства</w:t>
      </w:r>
    </w:p>
    <w:p w:rsidR="00744935" w:rsidRDefault="00744935" w:rsidP="00744935">
      <w:pPr>
        <w:shd w:val="clear" w:color="auto" w:fill="FFFFFF"/>
        <w:spacing w:after="0" w:line="240" w:lineRule="auto"/>
        <w:jc w:val="center"/>
        <w:rPr>
          <w:rFonts w:ascii="Times New Roman" w:hAnsi="Times New Roman" w:cs="Times New Roman"/>
          <w:b/>
          <w:i/>
          <w:color w:val="0070C0"/>
          <w:sz w:val="32"/>
          <w:szCs w:val="32"/>
          <w:u w:val="single"/>
        </w:rPr>
      </w:pPr>
      <w:r w:rsidRPr="00744935">
        <w:rPr>
          <w:rFonts w:ascii="Times New Roman" w:hAnsi="Times New Roman" w:cs="Times New Roman"/>
          <w:b/>
          <w:i/>
          <w:color w:val="0070C0"/>
          <w:sz w:val="32"/>
          <w:szCs w:val="32"/>
          <w:u w:val="single"/>
        </w:rPr>
        <w:t xml:space="preserve">господдержки согласно Федеральному закону </w:t>
      </w:r>
    </w:p>
    <w:p w:rsidR="00744935" w:rsidRDefault="00744935" w:rsidP="00744935">
      <w:pPr>
        <w:shd w:val="clear" w:color="auto" w:fill="FFFFFF"/>
        <w:spacing w:after="0" w:line="240" w:lineRule="auto"/>
        <w:jc w:val="center"/>
        <w:rPr>
          <w:rFonts w:ascii="Times New Roman" w:hAnsi="Times New Roman" w:cs="Times New Roman"/>
          <w:b/>
          <w:i/>
          <w:color w:val="0070C0"/>
          <w:sz w:val="32"/>
          <w:szCs w:val="32"/>
          <w:u w:val="single"/>
        </w:rPr>
      </w:pPr>
      <w:r w:rsidRPr="00744935">
        <w:rPr>
          <w:rFonts w:ascii="Times New Roman" w:hAnsi="Times New Roman" w:cs="Times New Roman"/>
          <w:b/>
          <w:i/>
          <w:color w:val="0070C0"/>
          <w:sz w:val="32"/>
          <w:szCs w:val="32"/>
          <w:u w:val="single"/>
        </w:rPr>
        <w:t xml:space="preserve">№ 185-ФЗ в случае если владельцем специального счета является региональный оператор, а организация проведения капитального ремонта этого дома по решению общего собрания собственников помещений </w:t>
      </w:r>
      <w:proofErr w:type="gramStart"/>
      <w:r w:rsidRPr="00744935">
        <w:rPr>
          <w:rFonts w:ascii="Times New Roman" w:hAnsi="Times New Roman" w:cs="Times New Roman"/>
          <w:b/>
          <w:i/>
          <w:color w:val="0070C0"/>
          <w:sz w:val="32"/>
          <w:szCs w:val="32"/>
          <w:u w:val="single"/>
        </w:rPr>
        <w:t>в</w:t>
      </w:r>
      <w:proofErr w:type="gramEnd"/>
      <w:r w:rsidRPr="00744935">
        <w:rPr>
          <w:rFonts w:ascii="Times New Roman" w:hAnsi="Times New Roman" w:cs="Times New Roman"/>
          <w:b/>
          <w:i/>
          <w:color w:val="0070C0"/>
          <w:sz w:val="32"/>
          <w:szCs w:val="32"/>
          <w:u w:val="single"/>
        </w:rPr>
        <w:t xml:space="preserve"> многоквартирном </w:t>
      </w:r>
    </w:p>
    <w:p w:rsidR="00744935" w:rsidRDefault="00744935" w:rsidP="00397BB3">
      <w:pPr>
        <w:shd w:val="clear" w:color="auto" w:fill="FFFFFF"/>
        <w:spacing w:after="0" w:line="240" w:lineRule="auto"/>
        <w:jc w:val="center"/>
        <w:rPr>
          <w:rFonts w:ascii="Times New Roman" w:hAnsi="Times New Roman" w:cs="Times New Roman"/>
          <w:b/>
          <w:i/>
          <w:color w:val="0070C0"/>
          <w:sz w:val="32"/>
          <w:szCs w:val="32"/>
          <w:u w:val="single"/>
        </w:rPr>
      </w:pPr>
      <w:r w:rsidRPr="00744935">
        <w:rPr>
          <w:rFonts w:ascii="Times New Roman" w:hAnsi="Times New Roman" w:cs="Times New Roman"/>
          <w:b/>
          <w:i/>
          <w:color w:val="0070C0"/>
          <w:sz w:val="32"/>
          <w:szCs w:val="32"/>
          <w:u w:val="single"/>
        </w:rPr>
        <w:t xml:space="preserve">доме </w:t>
      </w:r>
      <w:proofErr w:type="gramStart"/>
      <w:r w:rsidRPr="00744935">
        <w:rPr>
          <w:rFonts w:ascii="Times New Roman" w:hAnsi="Times New Roman" w:cs="Times New Roman"/>
          <w:b/>
          <w:i/>
          <w:color w:val="0070C0"/>
          <w:sz w:val="32"/>
          <w:szCs w:val="32"/>
          <w:u w:val="single"/>
        </w:rPr>
        <w:t>поручена</w:t>
      </w:r>
      <w:proofErr w:type="gramEnd"/>
      <w:r w:rsidRPr="00744935">
        <w:rPr>
          <w:rFonts w:ascii="Times New Roman" w:hAnsi="Times New Roman" w:cs="Times New Roman"/>
          <w:b/>
          <w:i/>
          <w:color w:val="0070C0"/>
          <w:sz w:val="32"/>
          <w:szCs w:val="32"/>
          <w:u w:val="single"/>
        </w:rPr>
        <w:t xml:space="preserve"> управляющей организации</w:t>
      </w:r>
      <w:r w:rsidRPr="00D93AA5">
        <w:rPr>
          <w:rFonts w:ascii="Times New Roman" w:hAnsi="Times New Roman" w:cs="Times New Roman"/>
          <w:b/>
          <w:i/>
          <w:color w:val="0070C0"/>
          <w:sz w:val="32"/>
          <w:szCs w:val="32"/>
          <w:u w:val="single"/>
        </w:rPr>
        <w:t>?</w:t>
      </w:r>
    </w:p>
    <w:p w:rsidR="00397BB3" w:rsidRPr="00397BB3" w:rsidRDefault="00397BB3" w:rsidP="00397BB3">
      <w:pPr>
        <w:shd w:val="clear" w:color="auto" w:fill="FFFFFF"/>
        <w:spacing w:after="0" w:line="240" w:lineRule="auto"/>
        <w:jc w:val="center"/>
        <w:rPr>
          <w:rFonts w:ascii="Times New Roman" w:hAnsi="Times New Roman" w:cs="Times New Roman"/>
          <w:b/>
          <w:i/>
          <w:color w:val="0070C0"/>
          <w:sz w:val="28"/>
          <w:szCs w:val="28"/>
          <w:u w:val="single"/>
        </w:rPr>
      </w:pP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proofErr w:type="gramStart"/>
      <w:r w:rsidRPr="00744935">
        <w:rPr>
          <w:color w:val="000000"/>
          <w:sz w:val="28"/>
          <w:szCs w:val="28"/>
        </w:rPr>
        <w:t xml:space="preserve">Согласно ч. 5 ст. 20.1 Федерального закона от 21.07.2007 № 185-ФЗ средства бюджета субъекта Российской Федерации, полученные за счет </w:t>
      </w:r>
      <w:r w:rsidRPr="00744935">
        <w:rPr>
          <w:color w:val="000000"/>
          <w:sz w:val="28"/>
          <w:szCs w:val="28"/>
        </w:rPr>
        <w:lastRenderedPageBreak/>
        <w:t>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МКД (далее</w:t>
      </w:r>
      <w:proofErr w:type="gramEnd"/>
      <w:r w:rsidRPr="00744935">
        <w:rPr>
          <w:color w:val="000000"/>
          <w:sz w:val="28"/>
          <w:szCs w:val="28"/>
        </w:rPr>
        <w:t xml:space="preserve"> также - специальные счета), перечисляются субъектом Российской Федерации в бюджеты указанных муниципальных образований.</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В свою очередь, орган местного самоуправления принимает решение о распределении денежных средств, указанных выше,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6877F8" w:rsidRPr="00744935"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Средства государственной и муниципальной поддержки, предусмотренные на проведение капитального ремонта многоквартирного дома, фонд капитального ремонта которого формируется на специальном счете, перечисляются на отдельный счёт, открытый лицом, осуществляющим по поручению собственников организацию проведения капитального ремонта (</w:t>
      </w:r>
      <w:proofErr w:type="gramStart"/>
      <w:r w:rsidRPr="00744935">
        <w:rPr>
          <w:color w:val="000000"/>
          <w:sz w:val="28"/>
          <w:szCs w:val="28"/>
        </w:rPr>
        <w:t>ч</w:t>
      </w:r>
      <w:proofErr w:type="gramEnd"/>
      <w:r w:rsidRPr="00744935">
        <w:rPr>
          <w:color w:val="000000"/>
          <w:sz w:val="28"/>
          <w:szCs w:val="28"/>
        </w:rPr>
        <w:t>. 7 статьи 20.1 Федерального закона № 185-ФЗ).</w:t>
      </w:r>
    </w:p>
    <w:p w:rsidR="006877F8" w:rsidRDefault="006877F8" w:rsidP="00397BB3">
      <w:pPr>
        <w:pStyle w:val="a3"/>
        <w:shd w:val="clear" w:color="auto" w:fill="FFFFFF"/>
        <w:spacing w:before="0" w:beforeAutospacing="0" w:after="0" w:afterAutospacing="0"/>
        <w:ind w:firstLine="708"/>
        <w:jc w:val="both"/>
        <w:rPr>
          <w:color w:val="000000"/>
          <w:sz w:val="28"/>
          <w:szCs w:val="28"/>
        </w:rPr>
      </w:pPr>
      <w:r w:rsidRPr="00744935">
        <w:rPr>
          <w:color w:val="000000"/>
          <w:sz w:val="28"/>
          <w:szCs w:val="28"/>
        </w:rPr>
        <w:t>В случае</w:t>
      </w:r>
      <w:proofErr w:type="gramStart"/>
      <w:r w:rsidRPr="00744935">
        <w:rPr>
          <w:color w:val="000000"/>
          <w:sz w:val="28"/>
          <w:szCs w:val="28"/>
        </w:rPr>
        <w:t>,</w:t>
      </w:r>
      <w:proofErr w:type="gramEnd"/>
      <w:r w:rsidRPr="00744935">
        <w:rPr>
          <w:color w:val="000000"/>
          <w:sz w:val="28"/>
          <w:szCs w:val="28"/>
        </w:rPr>
        <w:t xml:space="preserve"> если собственники помещений в многоквартирном доме, фонд капитального ремонта которого формируется на специальном счете, поручили организацию проведения капитального ремонта этого дома управляющей организации, то управляющая организация открывает отдельный банковский счет для перечисления органом местного самоуправления средств, предусмотренных на проведение капитального ремонта.</w:t>
      </w:r>
    </w:p>
    <w:p w:rsidR="00397BB3" w:rsidRPr="00744935" w:rsidRDefault="00397BB3" w:rsidP="00397BB3">
      <w:pPr>
        <w:pStyle w:val="a3"/>
        <w:shd w:val="clear" w:color="auto" w:fill="FFFFFF"/>
        <w:spacing w:before="0" w:beforeAutospacing="0" w:after="0" w:afterAutospacing="0"/>
        <w:ind w:firstLine="708"/>
        <w:jc w:val="both"/>
        <w:rPr>
          <w:color w:val="000000"/>
          <w:sz w:val="28"/>
          <w:szCs w:val="28"/>
        </w:rPr>
      </w:pPr>
    </w:p>
    <w:p w:rsidR="00744935" w:rsidRDefault="00744935" w:rsidP="00397BB3">
      <w:pPr>
        <w:shd w:val="clear" w:color="auto" w:fill="FFFFFF"/>
        <w:spacing w:after="0" w:line="240" w:lineRule="auto"/>
        <w:jc w:val="center"/>
        <w:rPr>
          <w:rFonts w:ascii="Times New Roman" w:hAnsi="Times New Roman" w:cs="Times New Roman"/>
          <w:b/>
          <w:i/>
          <w:color w:val="0070C0"/>
          <w:sz w:val="32"/>
          <w:szCs w:val="32"/>
          <w:u w:val="single"/>
        </w:rPr>
      </w:pPr>
      <w:r w:rsidRPr="00744935">
        <w:rPr>
          <w:rFonts w:ascii="Times New Roman" w:hAnsi="Times New Roman" w:cs="Times New Roman"/>
          <w:b/>
          <w:i/>
          <w:color w:val="0070C0"/>
          <w:sz w:val="32"/>
          <w:szCs w:val="32"/>
          <w:u w:val="single"/>
        </w:rPr>
        <w:t>Получение господдержки от Фонда содействия реформированию ЖКХ на проведение капитального ремонта освобождает собственников помещений в МКД от уплаты взносов на капитальный ремонт на какое-то время</w:t>
      </w:r>
      <w:r w:rsidRPr="00D93AA5">
        <w:rPr>
          <w:rFonts w:ascii="Times New Roman" w:hAnsi="Times New Roman" w:cs="Times New Roman"/>
          <w:b/>
          <w:i/>
          <w:color w:val="0070C0"/>
          <w:sz w:val="32"/>
          <w:szCs w:val="32"/>
          <w:u w:val="single"/>
        </w:rPr>
        <w:t>?</w:t>
      </w:r>
    </w:p>
    <w:p w:rsidR="00744935" w:rsidRPr="00397BB3" w:rsidRDefault="00744935" w:rsidP="00744935">
      <w:pPr>
        <w:shd w:val="clear" w:color="auto" w:fill="FFFFFF"/>
        <w:spacing w:after="0" w:line="240" w:lineRule="auto"/>
        <w:jc w:val="center"/>
        <w:rPr>
          <w:rFonts w:ascii="Times New Roman" w:hAnsi="Times New Roman" w:cs="Times New Roman"/>
          <w:b/>
          <w:i/>
          <w:color w:val="0070C0"/>
          <w:sz w:val="28"/>
          <w:szCs w:val="28"/>
          <w:u w:val="single"/>
        </w:rPr>
      </w:pPr>
    </w:p>
    <w:p w:rsidR="006877F8" w:rsidRPr="00744935" w:rsidRDefault="006877F8" w:rsidP="00397BB3">
      <w:pPr>
        <w:pStyle w:val="a3"/>
        <w:shd w:val="clear" w:color="auto" w:fill="FFFFFF"/>
        <w:spacing w:before="0" w:beforeAutospacing="0"/>
        <w:ind w:firstLine="708"/>
        <w:jc w:val="both"/>
        <w:rPr>
          <w:color w:val="000000"/>
          <w:sz w:val="28"/>
          <w:szCs w:val="28"/>
        </w:rPr>
      </w:pPr>
      <w:r w:rsidRPr="00744935">
        <w:rPr>
          <w:color w:val="000000"/>
          <w:sz w:val="28"/>
          <w:szCs w:val="28"/>
        </w:rPr>
        <w:t>Взнос на капитальный ремонт включен в состав платы за жилое помещение и коммунальные услуги (</w:t>
      </w:r>
      <w:proofErr w:type="gramStart"/>
      <w:r w:rsidRPr="00744935">
        <w:rPr>
          <w:color w:val="000000"/>
          <w:sz w:val="28"/>
          <w:szCs w:val="28"/>
        </w:rPr>
        <w:t>ч</w:t>
      </w:r>
      <w:proofErr w:type="gramEnd"/>
      <w:r w:rsidRPr="00744935">
        <w:rPr>
          <w:color w:val="000000"/>
          <w:sz w:val="28"/>
          <w:szCs w:val="28"/>
        </w:rPr>
        <w:t>. 2 ст. 154 ЖК РФ). Законодательством не предусмотрено освобождение собственников помещений в МКД от уплаты взносов на капитальный ремонт в случае предоставления государственной и/или муниципальной поддержки на проведение капитального ремонта общего имущества в МКД.</w:t>
      </w:r>
    </w:p>
    <w:p w:rsidR="006877F8" w:rsidRDefault="006877F8" w:rsidP="00EC5E26">
      <w:pPr>
        <w:shd w:val="clear" w:color="auto" w:fill="FFFFFF"/>
        <w:spacing w:after="0" w:line="240" w:lineRule="auto"/>
        <w:jc w:val="center"/>
        <w:rPr>
          <w:rFonts w:ascii="Times New Roman" w:hAnsi="Times New Roman" w:cs="Times New Roman"/>
          <w:b/>
          <w:i/>
          <w:color w:val="0070C0"/>
          <w:sz w:val="32"/>
          <w:szCs w:val="32"/>
          <w:u w:val="single"/>
        </w:rPr>
      </w:pPr>
    </w:p>
    <w:p w:rsidR="004A67A2" w:rsidRPr="00990250" w:rsidRDefault="004A67A2" w:rsidP="006877F8">
      <w:pPr>
        <w:pStyle w:val="a3"/>
        <w:shd w:val="clear" w:color="auto" w:fill="FFFFFF"/>
        <w:spacing w:before="0" w:beforeAutospacing="0" w:after="0" w:afterAutospacing="0"/>
        <w:jc w:val="both"/>
        <w:rPr>
          <w:color w:val="000000"/>
          <w:sz w:val="28"/>
          <w:szCs w:val="28"/>
        </w:rPr>
      </w:pPr>
    </w:p>
    <w:sectPr w:rsidR="004A67A2" w:rsidRPr="00990250" w:rsidSect="00397BB3">
      <w:pgSz w:w="11906" w:h="16838"/>
      <w:pgMar w:top="567"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9"/>
  </w:num>
  <w:num w:numId="6">
    <w:abstractNumId w:val="2"/>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64D30"/>
    <w:rsid w:val="000713FF"/>
    <w:rsid w:val="00073CC1"/>
    <w:rsid w:val="00080F43"/>
    <w:rsid w:val="00092FBE"/>
    <w:rsid w:val="00093AF0"/>
    <w:rsid w:val="000951C9"/>
    <w:rsid w:val="000D2BFF"/>
    <w:rsid w:val="000D7114"/>
    <w:rsid w:val="00104E0E"/>
    <w:rsid w:val="00107B38"/>
    <w:rsid w:val="001469A6"/>
    <w:rsid w:val="001575C8"/>
    <w:rsid w:val="001C4E84"/>
    <w:rsid w:val="001C6354"/>
    <w:rsid w:val="001D123E"/>
    <w:rsid w:val="001F09B8"/>
    <w:rsid w:val="00206A2A"/>
    <w:rsid w:val="00232552"/>
    <w:rsid w:val="00232B09"/>
    <w:rsid w:val="00234B51"/>
    <w:rsid w:val="00237A57"/>
    <w:rsid w:val="002500FD"/>
    <w:rsid w:val="002738D1"/>
    <w:rsid w:val="002774F4"/>
    <w:rsid w:val="002904A3"/>
    <w:rsid w:val="002A7FD1"/>
    <w:rsid w:val="002B1770"/>
    <w:rsid w:val="002B469B"/>
    <w:rsid w:val="002E5249"/>
    <w:rsid w:val="00301311"/>
    <w:rsid w:val="003053E4"/>
    <w:rsid w:val="00306931"/>
    <w:rsid w:val="0034532F"/>
    <w:rsid w:val="003478B6"/>
    <w:rsid w:val="00360800"/>
    <w:rsid w:val="00376452"/>
    <w:rsid w:val="00390BBD"/>
    <w:rsid w:val="00397BB3"/>
    <w:rsid w:val="003C1A0B"/>
    <w:rsid w:val="003D541C"/>
    <w:rsid w:val="003E79D8"/>
    <w:rsid w:val="003F7211"/>
    <w:rsid w:val="0040243E"/>
    <w:rsid w:val="004041FB"/>
    <w:rsid w:val="00416DB0"/>
    <w:rsid w:val="00464FB3"/>
    <w:rsid w:val="00470602"/>
    <w:rsid w:val="004A67A2"/>
    <w:rsid w:val="004B309A"/>
    <w:rsid w:val="004C4225"/>
    <w:rsid w:val="005054EC"/>
    <w:rsid w:val="00512F68"/>
    <w:rsid w:val="00517040"/>
    <w:rsid w:val="00521FC5"/>
    <w:rsid w:val="00536013"/>
    <w:rsid w:val="0054320E"/>
    <w:rsid w:val="0055068B"/>
    <w:rsid w:val="005A6131"/>
    <w:rsid w:val="005B7BD5"/>
    <w:rsid w:val="005D6455"/>
    <w:rsid w:val="005F00C3"/>
    <w:rsid w:val="005F37AA"/>
    <w:rsid w:val="006277A3"/>
    <w:rsid w:val="00631AAE"/>
    <w:rsid w:val="006457EC"/>
    <w:rsid w:val="00646F5B"/>
    <w:rsid w:val="00652813"/>
    <w:rsid w:val="00662B34"/>
    <w:rsid w:val="0066481A"/>
    <w:rsid w:val="00665019"/>
    <w:rsid w:val="006877F8"/>
    <w:rsid w:val="006A4637"/>
    <w:rsid w:val="006A548A"/>
    <w:rsid w:val="006C395E"/>
    <w:rsid w:val="006C3AA1"/>
    <w:rsid w:val="006E15D4"/>
    <w:rsid w:val="006E673A"/>
    <w:rsid w:val="00733270"/>
    <w:rsid w:val="00744935"/>
    <w:rsid w:val="007954D5"/>
    <w:rsid w:val="0079562A"/>
    <w:rsid w:val="007A7857"/>
    <w:rsid w:val="007B03EC"/>
    <w:rsid w:val="007D1791"/>
    <w:rsid w:val="007F1E6F"/>
    <w:rsid w:val="008157E9"/>
    <w:rsid w:val="00856BFD"/>
    <w:rsid w:val="00862442"/>
    <w:rsid w:val="00875332"/>
    <w:rsid w:val="00877DAF"/>
    <w:rsid w:val="00897824"/>
    <w:rsid w:val="008B09E5"/>
    <w:rsid w:val="008D372C"/>
    <w:rsid w:val="008F1568"/>
    <w:rsid w:val="00953560"/>
    <w:rsid w:val="00990250"/>
    <w:rsid w:val="00997E05"/>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33CAD"/>
    <w:rsid w:val="00C42EAD"/>
    <w:rsid w:val="00C45B49"/>
    <w:rsid w:val="00C841F9"/>
    <w:rsid w:val="00C9024E"/>
    <w:rsid w:val="00CA002E"/>
    <w:rsid w:val="00CD73AA"/>
    <w:rsid w:val="00CE02E6"/>
    <w:rsid w:val="00CE2F8C"/>
    <w:rsid w:val="00CF6505"/>
    <w:rsid w:val="00D00801"/>
    <w:rsid w:val="00D17FCC"/>
    <w:rsid w:val="00D21A3C"/>
    <w:rsid w:val="00D30B67"/>
    <w:rsid w:val="00D55837"/>
    <w:rsid w:val="00D62B18"/>
    <w:rsid w:val="00D93AA5"/>
    <w:rsid w:val="00DF0DB5"/>
    <w:rsid w:val="00E071D1"/>
    <w:rsid w:val="00E10910"/>
    <w:rsid w:val="00E13D20"/>
    <w:rsid w:val="00E173FE"/>
    <w:rsid w:val="00E31003"/>
    <w:rsid w:val="00E4654D"/>
    <w:rsid w:val="00E50293"/>
    <w:rsid w:val="00E53976"/>
    <w:rsid w:val="00E82EBF"/>
    <w:rsid w:val="00E95E2F"/>
    <w:rsid w:val="00EC5E26"/>
    <w:rsid w:val="00ED60A7"/>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51</cp:revision>
  <cp:lastPrinted>2020-09-28T03:46:00Z</cp:lastPrinted>
  <dcterms:created xsi:type="dcterms:W3CDTF">2018-09-24T09:07:00Z</dcterms:created>
  <dcterms:modified xsi:type="dcterms:W3CDTF">2020-09-28T03:46:00Z</dcterms:modified>
</cp:coreProperties>
</file>